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data"/>
        <w:spacing w:after="100"/>
      </w:pPr>
      <w:r>
        <w:t>58th North American Power Symposium</w:t>
      </w:r>
    </w:p>
    <w:p>
      <w:pPr>
        <w:pStyle w:val="Title"/>
      </w:pPr>
      <w:r>
        <w:t>NAPS 2026 Scheduling Brief</w:t>
      </w:r>
    </w:p>
    <w:p>
      <w:pPr>
        <w:pStyle w:val="Metadata"/>
      </w:pPr>
      <w:r>
        <w:t>October 11–13, 2026  |  Michigan Technological University</w:t>
      </w:r>
    </w:p>
    <w:p>
      <w:pPr>
        <w:pStyle w:val="Metadata"/>
        <w:spacing w:after="140"/>
      </w:pPr>
      <w:r>
        <w:t>Version 4: October 1, 2026</w:t>
      </w:r>
    </w:p>
    <w:p>
      <w:pPr>
        <w:pStyle w:val="DocumentNavigation"/>
      </w:pPr>
      <w:r>
        <w:rPr>
          <w:b/>
          <w:lang w:val="en-US" w:eastAsia="en-US" w:bidi="en-US"/>
        </w:rPr>
        <w:t xml:space="preserve">In this brief: </w:t>
      </w:r>
      <w:hyperlink w:anchor="Agenda" w:history="1">
        <w:r>
          <w:rPr>
            <w:rStyle w:val="Hyperlink"/>
            <w:lang w:val="en-US" w:eastAsia="en-US" w:bidi="en-US"/>
          </w:rPr>
          <w:t>Agenda</w:t>
        </w:r>
      </w:hyperlink>
      <w:r>
        <w:t xml:space="preserve">  |  </w:t>
      </w:r>
      <w:hyperlink w:anchor="Panels" w:history="1">
        <w:r>
          <w:rPr>
            <w:rStyle w:val="Hyperlink"/>
            <w:lang w:val="en-US" w:eastAsia="en-US" w:bidi="en-US"/>
          </w:rPr>
          <w:t>Panels</w:t>
        </w:r>
      </w:hyperlink>
      <w:r>
        <w:t xml:space="preserve">  |  </w:t>
      </w:r>
      <w:hyperlink w:anchor="OralSessions" w:history="1">
        <w:r>
          <w:rPr>
            <w:rStyle w:val="Hyperlink"/>
            <w:lang w:val="en-US" w:eastAsia="en-US" w:bidi="en-US"/>
          </w:rPr>
          <w:t>Oral sessions</w:t>
        </w:r>
      </w:hyperlink>
      <w:r>
        <w:t xml:space="preserve">  |  </w:t>
      </w:r>
      <w:hyperlink w:anchor="PosterSessions" w:history="1">
        <w:r>
          <w:rPr>
            <w:rStyle w:val="Hyperlink"/>
            <w:lang w:val="en-US" w:eastAsia="en-US" w:bidi="en-US"/>
          </w:rPr>
          <w:t>Poster sessions</w:t>
        </w:r>
      </w:hyperlink>
      <w:r>
        <w:t xml:space="preserve">  |  </w:t>
      </w:r>
      <w:hyperlink w:anchor="PresentationGuidelines" w:history="1">
        <w:r>
          <w:rPr>
            <w:rStyle w:val="Hyperlink"/>
            <w:lang w:val="en-US" w:eastAsia="en-US" w:bidi="en-US"/>
          </w:rPr>
          <w:t>Presentation guidelines</w:t>
        </w:r>
      </w:hyperlink>
    </w:p>
    <w:p>
      <w:pPr>
        <w:pStyle w:val="Heading1"/>
      </w:pPr>
      <w:bookmarkStart w:id="1" w:name="Agenda"/>
      <w:r>
        <w:t>Conference Agenda</w:t>
      </w:r>
      <w:bookmarkEnd w:id="1"/>
    </w:p>
    <w:p>
      <w:pPr>
        <w:pStyle w:val="Heading2"/>
      </w:pPr>
      <w:bookmarkStart w:id="2" w:name="SundayAgenda"/>
      <w:r>
        <w:t>Sunday, October 11, 2026</w:t>
      </w:r>
      <w:bookmarkEnd w:id="2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62" w:type="dxa"/>
          <w:bottom w:w="62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Sunday, October 11, 2026 agenda"/>
        <w:tblDescription w:val="Four activities. Columns list start and end time, program, and location."/>
      </w:tblPr>
      <w:tblGrid>
        <w:gridCol w:w="1872"/>
        <w:gridCol w:w="4925"/>
        <w:gridCol w:w="3571"/>
      </w:tblGrid>
      <w:tr>
        <w:trPr>
          <w:cantSplit/>
          <w:tblHeader/>
        </w:trPr>
        <w:tc>
          <w:tcPr>
            <w:tcW w:type="pct" w:w="903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Time</w:t>
            </w:r>
          </w:p>
        </w:tc>
        <w:tc>
          <w:tcPr>
            <w:tcW w:type="pct" w:w="2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Program</w:t>
            </w:r>
          </w:p>
        </w:tc>
        <w:tc>
          <w:tcPr>
            <w:tcW w:type="pct" w:w="1722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12:00 p.m. to</w:t>
              <w:br/>
              <w:t>6:00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Registration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2:00 p.m. to</w:t>
              <w:br/>
              <w:t>4:00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/>
              <w:keepLines/>
              <w:jc w:val="left"/>
            </w:pPr>
            <w:r>
              <w:rPr>
                <w:b/>
                <w:lang w:val="en-US" w:eastAsia="en-US" w:bidi="en-US"/>
              </w:rPr>
              <w:t>Technical Field Trips (Limited Capacity)</w:t>
            </w:r>
            <w:r>
              <w:t xml:space="preserve"> – sign up at registration</w:t>
            </w:r>
          </w:p>
          <w:p>
            <w:pPr>
              <w:pStyle w:val="TableText"/>
              <w:keepNext/>
              <w:keepLines/>
              <w:spacing w:before="100"/>
              <w:jc w:val="left"/>
            </w:pPr>
            <w:r>
              <w:rPr>
                <w:b/>
                <w:lang w:val="en-US" w:eastAsia="en-US" w:bidi="en-US"/>
              </w:rPr>
              <w:t xml:space="preserve">Michigan Tech Campus Power &amp; Building Management Systems – </w:t>
            </w:r>
            <w:r>
              <w:t>A behind-the-scenes tour of Michigan Tech’s campus electrical distribution and building management systems (BMS), highlighting real-time monitoring, electrical loads, alarms, energy use, and day-to-day operation of campus infrastructure.</w:t>
            </w:r>
          </w:p>
          <w:p>
            <w:pPr>
              <w:pStyle w:val="TableText"/>
              <w:keepNext w:val="0"/>
              <w:keepLines/>
              <w:spacing w:before="100"/>
              <w:jc w:val="left"/>
            </w:pPr>
            <w:r>
              <w:rPr>
                <w:b/>
                <w:lang w:val="en-US" w:eastAsia="en-US" w:bidi="en-US"/>
              </w:rPr>
              <w:t xml:space="preserve">APS LABS Northern Solar Test Site – </w:t>
            </w:r>
            <w:r>
              <w:t>A technical tour of the solar PV research and test facilities near Houghton County Memorial Airport, highlighting cold-climate PV performance, solar arrays and tracking systems, and research addressing snow and extreme-weather operation.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Information provided at registration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4:00 p.m. to</w:t>
              <w:br/>
              <w:t>6:00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PEEC Meeting / NAPS Steering Committee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1st floor, Alumni Lounge A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6:00 p.m. to</w:t>
              <w:br/>
              <w:t>9:00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Informal mingling session with light refreshments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/>
              <w:keepLines/>
              <w:jc w:val="left"/>
            </w:pPr>
            <w:r>
              <w:t>Beviamo Vino</w:t>
            </w:r>
          </w:p>
          <w:p>
            <w:pPr>
              <w:pStyle w:val="TableText"/>
              <w:keepNext w:val="0"/>
              <w:keepLines/>
              <w:spacing w:before="100"/>
              <w:jc w:val="left"/>
            </w:pPr>
            <w:r>
              <w:t>414 Sheldon Ave, Houghton</w:t>
            </w:r>
          </w:p>
        </w:tc>
      </w:tr>
    </w:tbl>
    <w:p>
      <w:pPr>
        <w:pStyle w:val="Heading2"/>
        <w:pageBreakBefore/>
        <w:spacing w:before="0"/>
      </w:pPr>
      <w:bookmarkStart w:id="3" w:name="MondayAgenda"/>
      <w:r>
        <w:t>Monday, October 12, 2026</w:t>
      </w:r>
      <w:bookmarkEnd w:id="3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80" w:type="dxa"/>
          <w:bottom w:w="80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Monday, October 12, 2026 agenda"/>
        <w:tblDescription w:val="Fifteen activities. Columns list start and end time, program, and location. Oral session location links go to the appropriate round."/>
      </w:tblPr>
      <w:tblGrid>
        <w:gridCol w:w="1872"/>
        <w:gridCol w:w="4925"/>
        <w:gridCol w:w="3571"/>
      </w:tblGrid>
      <w:tr>
        <w:trPr>
          <w:cantSplit/>
          <w:tblHeader/>
        </w:trPr>
        <w:tc>
          <w:tcPr>
            <w:tcW w:type="pct" w:w="903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Time</w:t>
            </w:r>
          </w:p>
        </w:tc>
        <w:tc>
          <w:tcPr>
            <w:tcW w:type="pct" w:w="2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Program</w:t>
            </w:r>
          </w:p>
        </w:tc>
        <w:tc>
          <w:tcPr>
            <w:tcW w:type="pct" w:w="1722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7:30 a.m. to</w:t>
              <w:br/>
              <w:t>5:30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Registration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7:30 a.m. to</w:t>
              <w:br/>
              <w:t>8:00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Breakfast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8:00 a.m. to</w:t>
              <w:br/>
              <w:t>8:20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ATC Opening Remarks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8:20 a.m. to</w:t>
              <w:br/>
              <w:t>9:20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Panel 1: Integrating Large and Emerging Electric Loads — Prof. Kevin Tomsovic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9:20 a.m. to</w:t>
              <w:br/>
              <w:t>9:30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Coffee Break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 &amp;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9:30 a.m. to</w:t>
              <w:br/>
              <w:t>11:30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Round A — six parallel paper sessions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hyperlink w:anchor="RoundA" w:history="1" w:tooltip="Go to Round A oral session locations">
              <w:r>
                <w:rPr>
                  <w:rStyle w:val="Hyperlink"/>
                  <w:lang w:val="en-US" w:eastAsia="en-US" w:bidi="en-US"/>
                </w:rPr>
                <w:t>Round A session locations</w:t>
              </w:r>
            </w:hyperlink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11:30 a.m. to</w:t>
              <w:br/>
              <w:t>12:45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Lunch; Panel 2 begins at 12:00 p.m.: Cyber-Physical Security and Resilient Grid Infrastructure — Prof. Chen-Ching Liu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12:45 p.m. to</w:t>
              <w:br/>
              <w:t>2:45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Round B — six parallel paper sessions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hyperlink w:anchor="RoundB" w:history="1" w:tooltip="Go to Round B oral session locations">
              <w:r>
                <w:rPr>
                  <w:rStyle w:val="Hyperlink"/>
                  <w:lang w:val="en-US" w:eastAsia="en-US" w:bidi="en-US"/>
                </w:rPr>
                <w:t>Round B session locations</w:t>
              </w:r>
            </w:hyperlink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3:00 p.m. to</w:t>
              <w:br/>
              <w:t>3:15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Coffee Break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 &amp;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3:15 p.m. to</w:t>
              <w:br/>
              <w:t>5:15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Round C — six parallel paper sessions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hyperlink w:anchor="RoundC" w:history="1" w:tooltip="Go to Round C oral session locations">
              <w:r>
                <w:rPr>
                  <w:rStyle w:val="Hyperlink"/>
                  <w:lang w:val="en-US" w:eastAsia="en-US" w:bidi="en-US"/>
                </w:rPr>
                <w:t>Round C session locations</w:t>
              </w:r>
            </w:hyperlink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5:30 p.m. to</w:t>
              <w:br/>
              <w:t>7:00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Dinner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7:00 p.m. to</w:t>
              <w:br/>
              <w:t>7:15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Walk Over to Rozsa Center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Not specified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7:15 p.m. to</w:t>
              <w:br/>
              <w:t>8:00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Poster Session A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Rozsa Center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8:00 p.m. to</w:t>
              <w:br/>
              <w:t>8:20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GM Energy Keynote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Rozsa Center Auditorium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8:20 p.m. to</w:t>
              <w:br/>
              <w:t>9:20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Finnish-American Dance, Music, and Humor - The Lighter Side Of The Immigrant Experience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Rozsa Center Auditorium</w:t>
            </w:r>
          </w:p>
        </w:tc>
      </w:tr>
    </w:tbl>
    <w:p>
      <w:pPr>
        <w:pStyle w:val="Heading2"/>
        <w:pageBreakBefore/>
        <w:spacing w:before="0"/>
      </w:pPr>
      <w:bookmarkStart w:id="4" w:name="TuesdayAgenda"/>
      <w:r>
        <w:t>Tuesday, October 13, 2026</w:t>
      </w:r>
      <w:bookmarkEnd w:id="4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75" w:type="dxa"/>
          <w:bottom w:w="75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Tuesday, October 13, 2026 agenda"/>
        <w:tblDescription w:val="Six activities. Columns list start and end time, program, and location."/>
      </w:tblPr>
      <w:tblGrid>
        <w:gridCol w:w="1872"/>
        <w:gridCol w:w="4925"/>
        <w:gridCol w:w="3571"/>
      </w:tblGrid>
      <w:tr>
        <w:trPr>
          <w:cantSplit/>
          <w:tblHeader/>
        </w:trPr>
        <w:tc>
          <w:tcPr>
            <w:tcW w:type="pct" w:w="903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Time</w:t>
            </w:r>
          </w:p>
        </w:tc>
        <w:tc>
          <w:tcPr>
            <w:tcW w:type="pct" w:w="2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Program</w:t>
            </w:r>
          </w:p>
        </w:tc>
        <w:tc>
          <w:tcPr>
            <w:tcW w:type="pct" w:w="1722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7:30 a.m. to</w:t>
              <w:br/>
              <w:t>11:45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Registration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Lobby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7:30 a.m. to</w:t>
              <w:br/>
              <w:t>8:00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Breakfast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8:00 a.m. to</w:t>
              <w:br/>
              <w:t>9:00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Panel 3: Grid Flexibility, Energy Arbitrage, and Transportation Electrification — Prof. Thomas Overbye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9:00 a.m. to</w:t>
              <w:br/>
              <w:t>9:45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Poster Session B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Ground floor, food court</w:t>
            </w:r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9:45 a.m. to</w:t>
              <w:br/>
              <w:t>11:45 a.m.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Round D — six parallel paper sessions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hyperlink w:anchor="RoundD" w:history="1" w:tooltip="Go to Round D oral session locations">
              <w:r>
                <w:rPr>
                  <w:rStyle w:val="Hyperlink"/>
                  <w:lang w:val="en-US" w:eastAsia="en-US" w:bidi="en-US"/>
                </w:rPr>
                <w:t>Round D session locations</w:t>
              </w:r>
            </w:hyperlink>
          </w:p>
        </w:tc>
      </w:tr>
      <w:tr>
        <w:trPr>
          <w:cantSplit/>
        </w:trPr>
        <w:tc>
          <w:tcPr>
            <w:tcW w:type="pct" w:w="903"/>
            <w:shd w:val="clear" w:color="auto" w:fill="FFFFFF"/>
            <w:vAlign w:val="center"/>
          </w:tcPr>
          <w:p>
            <w:pPr>
              <w:pStyle w:val="TableText"/>
              <w:keepLines/>
              <w:jc w:val="left"/>
            </w:pPr>
            <w:r>
              <w:t>11:45 a.m. to</w:t>
              <w:br/>
              <w:t>12:45 p.m.</w:t>
            </w:r>
          </w:p>
        </w:tc>
        <w:tc>
          <w:tcPr>
            <w:tcW w:type="pct" w:w="2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Box Lunch, Closing Remarks, and Award Presentations</w:t>
            </w:r>
          </w:p>
        </w:tc>
        <w:tc>
          <w:tcPr>
            <w:tcW w:type="pct" w:w="1722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 (MUB), 2nd floor, Ballroom</w:t>
            </w:r>
          </w:p>
        </w:tc>
      </w:tr>
    </w:tbl>
    <w:p>
      <w:pPr>
        <w:pStyle w:val="Heading1"/>
      </w:pPr>
      <w:bookmarkStart w:id="5" w:name="Panels"/>
      <w:r>
        <w:t>Featured Panels</w:t>
      </w:r>
      <w:bookmarkEnd w:id="5"/>
    </w:p>
    <w:p>
      <w:pPr>
        <w:pStyle w:val="Heading2"/>
        <w:spacing w:before="140" w:after="60" w:line="240" w:lineRule="auto"/>
      </w:pPr>
      <w:r>
        <w:t>Panel 1: Integrating Large and Emerging Electric Loads</w:t>
      </w:r>
    </w:p>
    <w:p>
      <w:pPr>
        <w:pStyle w:val="PanelText"/>
        <w:keepNext/>
      </w:pPr>
      <w:r>
        <w:rPr>
          <w:b/>
          <w:lang w:val="en-US" w:eastAsia="en-US" w:bidi="en-US"/>
        </w:rPr>
        <w:t xml:space="preserve">Moderator: </w:t>
      </w:r>
      <w:r>
        <w:t>Prof. Kevin Tomsovic. Addressing emerging stress from large and variable loads through improved planning and operations, including dynamic ratings and other grid-enhancing approaches.</w:t>
      </w:r>
    </w:p>
    <w:p>
      <w:pPr>
        <w:pStyle w:val="PanelText"/>
        <w:keepLines/>
      </w:pPr>
      <w:r>
        <w:rPr>
          <w:b/>
          <w:lang w:val="en-US" w:eastAsia="en-US" w:bidi="en-US"/>
        </w:rPr>
        <w:t xml:space="preserve">Panelists: </w:t>
      </w:r>
      <w:r>
        <w:t>Adam Manty (ATC); Nick Ware (ITC); Pankaj Bhatt (Schweitzer Engineering Laboratories); James McCormick (Consumers Energy); Nick Schwartz (M.J. Electric).</w:t>
      </w:r>
    </w:p>
    <w:p>
      <w:pPr>
        <w:pStyle w:val="Heading2"/>
        <w:spacing w:before="140" w:after="60" w:line="240" w:lineRule="auto"/>
      </w:pPr>
      <w:r>
        <w:t>Panel 2: Cyber-Physical Security and Resilient Grid Infrastructure</w:t>
      </w:r>
    </w:p>
    <w:p>
      <w:pPr>
        <w:pStyle w:val="PanelText"/>
        <w:keepNext/>
      </w:pPr>
      <w:r>
        <w:rPr>
          <w:b/>
          <w:lang w:val="en-US" w:eastAsia="en-US" w:bidi="en-US"/>
        </w:rPr>
        <w:t xml:space="preserve">Moderator: </w:t>
      </w:r>
      <w:r>
        <w:t>Prof. Chen-Ching Liu. Strengthening the grid against cyber threats, physical disruptions, and extreme events.</w:t>
      </w:r>
    </w:p>
    <w:p>
      <w:pPr>
        <w:pStyle w:val="PanelText"/>
        <w:keepLines/>
      </w:pPr>
      <w:r>
        <w:rPr>
          <w:b/>
          <w:lang w:val="en-US" w:eastAsia="en-US" w:bidi="en-US"/>
        </w:rPr>
        <w:t xml:space="preserve">Panelists: </w:t>
      </w:r>
      <w:r>
        <w:t>Corey Young (ATC); Henry Louie (Seattle University); Jim Harmening (Illinois Commerce Commission); Sam Chanoski (Idaho National Laboratory).</w:t>
      </w:r>
    </w:p>
    <w:p>
      <w:pPr>
        <w:pStyle w:val="Heading2"/>
        <w:spacing w:before="140" w:after="60" w:line="240" w:lineRule="auto"/>
      </w:pPr>
      <w:r>
        <w:t>Panel 3: Grid Flexibility, Energy Arbitrage, and Transportation Electrification</w:t>
      </w:r>
    </w:p>
    <w:p>
      <w:pPr>
        <w:pStyle w:val="PanelText"/>
        <w:keepNext/>
      </w:pPr>
      <w:r>
        <w:rPr>
          <w:b/>
          <w:lang w:val="en-US" w:eastAsia="en-US" w:bidi="en-US"/>
        </w:rPr>
        <w:t xml:space="preserve">Moderator: </w:t>
      </w:r>
      <w:r>
        <w:t>Prof. Thomas Overbye. Using storage, EV charging, and flexible loads to support reliable and efficient grid operation through enhanced flexibility and market participation.</w:t>
      </w:r>
    </w:p>
    <w:p>
      <w:pPr>
        <w:pStyle w:val="PanelText"/>
        <w:keepLines/>
      </w:pPr>
      <w:r>
        <w:rPr>
          <w:b/>
          <w:lang w:val="en-US" w:eastAsia="en-US" w:bidi="en-US"/>
        </w:rPr>
        <w:t xml:space="preserve">Panelists: </w:t>
      </w:r>
      <w:r>
        <w:t>Dan Scripps (Michigan Public Service Commission); Tom Skawski (ComEd); Johanna Mathieu (University of Michigan–Ann Arbor); Jonghwan Kwon (Argonne National Laboratory).</w:t>
      </w:r>
    </w:p>
    <w:p>
      <w:pPr>
        <w:pStyle w:val="Heading1"/>
        <w:pageBreakBefore/>
        <w:spacing w:before="0"/>
      </w:pPr>
      <w:bookmarkStart w:id="6" w:name="OralSessions"/>
      <w:r>
        <w:t>Oral Session Topics</w:t>
      </w:r>
      <w:bookmarkEnd w:id="6"/>
    </w:p>
    <w:p>
      <w:pPr/>
      <w:r>
        <w:rPr>
          <w:b/>
          <w:lang w:val="en-US" w:eastAsia="en-US" w:bidi="en-US"/>
        </w:rPr>
        <w:t xml:space="preserve">Structure: </w:t>
      </w:r>
      <w:r>
        <w:t>12-minute presentations, followed by 3 minutes of questions.</w:t>
      </w:r>
    </w:p>
    <w:p>
      <w:pPr>
        <w:pStyle w:val="Heading2"/>
      </w:pPr>
      <w:bookmarkStart w:id="7" w:name="RoundA"/>
      <w:r>
        <w:t>Round A  |  Monday, 9:30–11:30 a.m.</w:t>
      </w:r>
      <w:bookmarkEnd w:id="7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85" w:type="dxa"/>
          <w:bottom w:w="85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Round A oral session topics and locations"/>
        <w:tblDescription w:val="Six parallel sessions. Columns list session slot, topic, and the complete building and room location."/>
      </w:tblPr>
      <w:tblGrid>
        <w:gridCol w:w="778"/>
        <w:gridCol w:w="4493"/>
        <w:gridCol w:w="5098"/>
      </w:tblGrid>
      <w:tr>
        <w:trPr>
          <w:cantSplit/>
          <w:tblHeader/>
        </w:trPr>
        <w:tc>
          <w:tcPr>
            <w:tcW w:type="pct" w:w="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center"/>
            </w:pPr>
            <w:r>
              <w:t>Slot</w:t>
            </w:r>
          </w:p>
        </w:tc>
        <w:tc>
          <w:tcPr>
            <w:tcW w:type="pct" w:w="2167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Topic</w:t>
            </w:r>
          </w:p>
        </w:tc>
        <w:tc>
          <w:tcPr>
            <w:tcW w:type="pct" w:w="2458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A-1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Grid Integration of Large Loads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 Alumni Lounge B/C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A-2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Electrification and Flexible Demand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Alumni Lounge A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A-3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Distribution System Operations and Flexibility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508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A-4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Power Electronics and HVDC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Basement, Superior Room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A-5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AI and Machine Learning for Power Systems Analytics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Library, First Floor, East Reading Room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A-6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Forecasting and Uncertainty for Power Systems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122</w:t>
            </w:r>
          </w:p>
        </w:tc>
      </w:tr>
    </w:tbl>
    <w:p>
      <w:pPr>
        <w:pStyle w:val="Heading2"/>
      </w:pPr>
      <w:bookmarkStart w:id="8" w:name="RoundB"/>
      <w:r>
        <w:t>Round B  |  Monday, 12:45–2:45 p.m.</w:t>
      </w:r>
      <w:bookmarkEnd w:id="8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85" w:type="dxa"/>
          <w:bottom w:w="85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Round B oral session topics and locations"/>
        <w:tblDescription w:val="Six parallel sessions. Columns list session slot, topic, and the complete building and room location."/>
      </w:tblPr>
      <w:tblGrid>
        <w:gridCol w:w="778"/>
        <w:gridCol w:w="4493"/>
        <w:gridCol w:w="5098"/>
      </w:tblGrid>
      <w:tr>
        <w:trPr>
          <w:cantSplit/>
          <w:tblHeader/>
        </w:trPr>
        <w:tc>
          <w:tcPr>
            <w:tcW w:type="pct" w:w="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center"/>
            </w:pPr>
            <w:r>
              <w:t>Slot</w:t>
            </w:r>
          </w:p>
        </w:tc>
        <w:tc>
          <w:tcPr>
            <w:tcW w:type="pct" w:w="2167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Topic</w:t>
            </w:r>
          </w:p>
        </w:tc>
        <w:tc>
          <w:tcPr>
            <w:tcW w:type="pct" w:w="2458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B-1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Power System Planning and Operations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Library, First Floor, East Reading Room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B-2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Reliability, Resilience, and Risk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 Alumni Lounge A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B-3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Grid Integration of Large Loads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 Alumni Lounge B/C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B-4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Hardware-in-the-Loop and Real-Time Validation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501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B-5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Protection, Monitoring, and Control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508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B-6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Power System Cybersecurity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Basement, Superior Room</w:t>
            </w:r>
          </w:p>
        </w:tc>
      </w:tr>
    </w:tbl>
    <w:p>
      <w:pPr>
        <w:pStyle w:val="Heading2"/>
        <w:pageBreakBefore/>
        <w:spacing w:before="0"/>
      </w:pPr>
      <w:bookmarkStart w:id="9" w:name="RoundC"/>
      <w:r>
        <w:t>Round C  |  Monday, 3:15–5:15 p.m.</w:t>
      </w:r>
      <w:bookmarkEnd w:id="9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85" w:type="dxa"/>
          <w:bottom w:w="85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Round C oral session topics and locations"/>
        <w:tblDescription w:val="Six parallel sessions. Columns list session slot, topic, and the complete building and room location."/>
      </w:tblPr>
      <w:tblGrid>
        <w:gridCol w:w="778"/>
        <w:gridCol w:w="4493"/>
        <w:gridCol w:w="5098"/>
      </w:tblGrid>
      <w:tr>
        <w:trPr>
          <w:cantSplit/>
          <w:tblHeader/>
        </w:trPr>
        <w:tc>
          <w:tcPr>
            <w:tcW w:type="pct" w:w="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center"/>
            </w:pPr>
            <w:r>
              <w:t>Slot</w:t>
            </w:r>
          </w:p>
        </w:tc>
        <w:tc>
          <w:tcPr>
            <w:tcW w:type="pct" w:w="2167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Topic</w:t>
            </w:r>
          </w:p>
        </w:tc>
        <w:tc>
          <w:tcPr>
            <w:tcW w:type="pct" w:w="2458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C-1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Power System Planning and Operations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Alumni Lounge B/C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C-2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Reliability, Resilience, and Risk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Alumni Lounge A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C-3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Distribution System Operations and Flexibility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508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C-4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Inverter-Based Resources and Microgrid Control 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R. L. Smith Building (MEEM), Room 303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C-5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Protection, Monitoring, and Control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Basement, Superior Room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C-6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Forecasting and Uncertainty for Power Systems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R. L. Smith Building (MEEM), Room 302</w:t>
            </w:r>
          </w:p>
        </w:tc>
      </w:tr>
    </w:tbl>
    <w:p>
      <w:pPr>
        <w:pStyle w:val="Heading2"/>
      </w:pPr>
      <w:bookmarkStart w:id="10" w:name="RoundD"/>
      <w:r>
        <w:t>Round D  |  Tuesday, 9:45–11:45 a.m.</w:t>
      </w:r>
      <w:bookmarkEnd w:id="10"/>
    </w:p>
    <w:tbl>
      <w:tblPr>
        <w:tblW w:type="pct" w:w="5000"/>
        <w:jc w:val="center"/>
        <w:tblLayout w:type="autofit"/>
        <w:tblLook w:firstColumn="0" w:firstRow="1" w:lastColumn="0" w:lastRow="0" w:noHBand="1" w:noVBand="1" w:val="0420"/>
        <w:tblCellMar>
          <w:top w:w="85" w:type="dxa"/>
          <w:bottom w:w="85" w:type="dxa"/>
          <w:left w:w="85" w:type="dxa"/>
          <w:right w:w="85" w:type="dxa"/>
        </w:tblCellMar>
        <w:tblBorders>
          <w:top w:val="single" w:sz="4" w:color="80909C"/>
          <w:left w:val="single" w:sz="4" w:color="80909C"/>
          <w:bottom w:val="single" w:sz="4" w:color="80909C"/>
          <w:right w:val="single" w:sz="4" w:color="80909C"/>
          <w:insideH w:val="single" w:sz="4" w:color="80909C"/>
          <w:insideV w:val="single" w:sz="4" w:color="80909C"/>
        </w:tblBorders>
        <w:tblCaption w:val="Round D oral session topics and locations"/>
        <w:tblDescription w:val="Six parallel sessions. Columns list session slot, topic, and the complete building and room location."/>
      </w:tblPr>
      <w:tblGrid>
        <w:gridCol w:w="778"/>
        <w:gridCol w:w="4493"/>
        <w:gridCol w:w="5098"/>
      </w:tblGrid>
      <w:tr>
        <w:trPr>
          <w:cantSplit/>
          <w:tblHeader/>
        </w:trPr>
        <w:tc>
          <w:tcPr>
            <w:tcW w:type="pct" w:w="375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center"/>
            </w:pPr>
            <w:r>
              <w:t>Slot</w:t>
            </w:r>
          </w:p>
        </w:tc>
        <w:tc>
          <w:tcPr>
            <w:tcW w:type="pct" w:w="2167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Topic</w:t>
            </w:r>
          </w:p>
        </w:tc>
        <w:tc>
          <w:tcPr>
            <w:tcW w:type="pct" w:w="2458"/>
            <w:shd w:val="clear" w:color="auto" w:fill="214F73"/>
            <w:vAlign w:val="center"/>
          </w:tcPr>
          <w:p>
            <w:pPr>
              <w:pStyle w:val="TableHeader"/>
              <w:keepNext/>
              <w:keepLines/>
              <w:jc w:val="left"/>
            </w:pPr>
            <w:r>
              <w:t>Location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D-1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Electrification and Flexible Demand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Alumni Lounge A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D-2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Energy Storage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Memorial Union Building (MUB), First Floor, Alumni Lounge B/C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D-3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Hardware-in-the-Loop and Real-Time Validation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508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D-4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Inverter-Based Resources and Microgrid Control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Electrical Energy Resources Center (EERC), Room 122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D-5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AI and Machine Learning for Power Systems Analytics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R. L. Smith Building (MEEM), Room 111</w:t>
            </w:r>
          </w:p>
        </w:tc>
      </w:tr>
      <w:tr>
        <w:trPr>
          <w:cantSplit/>
        </w:trPr>
        <w:tc>
          <w:tcPr>
            <w:tcW w:type="pct" w:w="375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center"/>
            </w:pPr>
            <w:r>
              <w:t>D-6</w:t>
            </w:r>
          </w:p>
        </w:tc>
        <w:tc>
          <w:tcPr>
            <w:tcW w:type="pct" w:w="2167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Power System Cybersecurity II</w:t>
            </w:r>
          </w:p>
        </w:tc>
        <w:tc>
          <w:tcPr>
            <w:tcW w:type="pct" w:w="2458"/>
            <w:shd w:val="clear" w:color="auto" w:fill="FFFFFF"/>
            <w:vAlign w:val="center"/>
          </w:tcPr>
          <w:p>
            <w:pPr>
              <w:pStyle w:val="TableText"/>
              <w:keepNext w:val="0"/>
              <w:keepLines/>
              <w:jc w:val="left"/>
            </w:pPr>
            <w:r>
              <w:t>Library, First Floor, East Reading Room</w:t>
            </w:r>
          </w:p>
        </w:tc>
      </w:tr>
    </w:tbl>
    <w:p>
      <w:pPr>
        <w:pStyle w:val="Heading1"/>
        <w:pageBreakBefore/>
        <w:spacing w:before="0"/>
      </w:pPr>
      <w:bookmarkStart w:id="11" w:name="PosterSessions"/>
      <w:r>
        <w:t>Poster Sessions</w:t>
      </w:r>
      <w:bookmarkEnd w:id="11"/>
    </w:p>
    <w:p>
      <w:pPr>
        <w:pStyle w:val="Heading2"/>
      </w:pPr>
      <w:r>
        <w:t>Round A  |  Monday, 7:15–8:00 p.m.</w:t>
      </w:r>
    </w:p>
    <w:p>
      <w:pPr/>
      <w:r>
        <w:rPr>
          <w:b/>
          <w:lang w:val="en-US" w:eastAsia="en-US" w:bidi="en-US"/>
        </w:rPr>
        <w:t xml:space="preserve">Location: </w:t>
      </w:r>
      <w:r>
        <w:t>Rozsa Center Lobby</w:t>
      </w:r>
    </w:p>
    <w:p>
      <w:pPr>
        <w:pStyle w:val="Heading2"/>
      </w:pPr>
      <w:r>
        <w:t>Round B  |  Tuesday, 9:00–9:45 a.m.</w:t>
      </w:r>
    </w:p>
    <w:p>
      <w:pPr/>
      <w:r>
        <w:rPr>
          <w:b/>
          <w:lang w:val="en-US" w:eastAsia="en-US" w:bidi="en-US"/>
        </w:rPr>
        <w:t xml:space="preserve">Location: </w:t>
      </w:r>
      <w:r>
        <w:t>Memorial Union Building  (MUB), Ground floor, food court</w:t>
      </w:r>
    </w:p>
    <w:p>
      <w:pPr>
        <w:pStyle w:val="Heading1"/>
      </w:pPr>
      <w:bookmarkStart w:id="12" w:name="PresentationGuidelines"/>
      <w:r>
        <w:t>NAPS 2026 Presentation Guidelines</w:t>
      </w:r>
      <w:bookmarkEnd w:id="12"/>
    </w:p>
    <w:p>
      <w:pPr>
        <w:pStyle w:val="Heading2"/>
      </w:pPr>
      <w:r>
        <w:t>Oral Presentation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Presentation: </w:t>
      </w:r>
      <w:r>
        <w:t>12 minutes.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Questions: </w:t>
      </w:r>
      <w:r>
        <w:t>3 minutes.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Slides: </w:t>
      </w:r>
      <w:r>
        <w:t>No required PowerPoint template. You may use your preferred slide format.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Time warning: </w:t>
      </w:r>
      <w:r>
        <w:t>The session moderator will alert you after the 10-minute mark.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Hard stop: </w:t>
      </w:r>
      <w:r>
        <w:t>The moderator will stop the presentation at approximately 12.5 minutes to keep the session on schedule.</w:t>
      </w:r>
    </w:p>
    <w:p>
      <w:pPr>
        <w:pStyle w:val="GuidelineItem"/>
        <w:numPr>
          <w:ilvl w:val="0"/>
          <w:numId w:val="10"/>
        </w:numPr>
      </w:pPr>
      <w:r>
        <w:rPr>
          <w:b/>
          <w:lang w:val="en-US" w:eastAsia="en-US" w:bidi="en-US"/>
        </w:rPr>
        <w:t xml:space="preserve">Preparation: </w:t>
      </w:r>
      <w:r>
        <w:t>Please rehearse and plan your presentation carefully so that you can complete it within the allotted time.</w:t>
      </w:r>
    </w:p>
    <w:p>
      <w:pPr>
        <w:pStyle w:val="Heading2"/>
      </w:pPr>
      <w:r>
        <w:t>Poster Presentation</w:t>
      </w:r>
    </w:p>
    <w:p>
      <w:pPr>
        <w:pStyle w:val="GuidelineItem"/>
        <w:numPr>
          <w:ilvl w:val="0"/>
          <w:numId w:val="11"/>
        </w:numPr>
      </w:pPr>
      <w:r>
        <w:rPr>
          <w:b/>
          <w:lang w:val="en-US" w:eastAsia="en-US" w:bidi="en-US"/>
        </w:rPr>
        <w:t xml:space="preserve">Poster size: </w:t>
      </w:r>
      <w:r>
        <w:t>48 inches wide × 36 inches high (landscape).</w:t>
      </w:r>
    </w:p>
    <w:p>
      <w:pPr>
        <w:pStyle w:val="GuidelineItem"/>
        <w:numPr>
          <w:ilvl w:val="0"/>
          <w:numId w:val="11"/>
        </w:numPr>
      </w:pPr>
      <w:r>
        <w:rPr>
          <w:b/>
          <w:lang w:val="en-US" w:eastAsia="en-US" w:bidi="en-US"/>
        </w:rPr>
        <w:t xml:space="preserve">Template: </w:t>
      </w:r>
      <w:r>
        <w:t>No required poster template. You may use your preferred design and format.</w:t>
      </w:r>
    </w:p>
    <w:p>
      <w:pPr>
        <w:pStyle w:val="GuidelineItem"/>
        <w:numPr>
          <w:ilvl w:val="0"/>
          <w:numId w:val="11"/>
        </w:numPr>
      </w:pPr>
      <w:r>
        <w:rPr>
          <w:b/>
          <w:lang w:val="en-US" w:eastAsia="en-US" w:bidi="en-US"/>
        </w:rPr>
        <w:t xml:space="preserve">Printing: </w:t>
      </w:r>
      <w:r>
        <w:t>Please print your poster before traveling to the conference.</w:t>
      </w:r>
    </w:p>
    <w:p>
      <w:pPr>
        <w:pStyle w:val="GuidelineItem"/>
        <w:numPr>
          <w:ilvl w:val="0"/>
          <w:numId w:val="11"/>
        </w:numPr>
      </w:pPr>
      <w:r>
        <w:rPr>
          <w:b/>
          <w:lang w:val="en-US" w:eastAsia="en-US" w:bidi="en-US"/>
        </w:rPr>
        <w:t xml:space="preserve">Bring your poster: </w:t>
      </w:r>
      <w:r>
        <w:t>Each presenter is responsible for bringing the physical poster to NAPS 2026.</w:t>
      </w:r>
    </w:p>
    <w:p>
      <w:pPr>
        <w:pStyle w:val="GuidelineItem"/>
        <w:numPr>
          <w:ilvl w:val="0"/>
          <w:numId w:val="11"/>
        </w:numPr>
      </w:pPr>
      <w:r>
        <w:rPr>
          <w:b/>
          <w:lang w:val="en-US" w:eastAsia="en-US" w:bidi="en-US"/>
        </w:rPr>
        <w:t xml:space="preserve">Presentation: </w:t>
      </w:r>
      <w:r>
        <w:t>Please be present with your poster during your assigned poster session.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4B4B4B"/>
        <w:sz w:val="19"/>
      </w:rPr>
      <w:t xml:space="preserve">NAPS 2026  |  Page </w:t>
    </w:r>
    <w:fldSimple w:instr="PAGE">
      <w:r>
        <w:rPr>
          <w:rFonts w:ascii="Arial" w:hAnsi="Arial"/>
          <w:sz w:val="19"/>
          <w:color w:val="4B4B4B"/>
          <w:lang w:val="en-US" w:eastAsia="en-US" w:bidi="en-US"/>
        </w:rPr>
        <w:t>1</w:t>
      </w:r>
    </w:fldSimple>
    <w:r>
      <w:rPr>
        <w:rFonts w:ascii="Arial" w:hAnsi="Arial"/>
        <w:color w:val="4B4B4B"/>
        <w:sz w:val="19"/>
      </w:rPr>
      <w:t xml:space="preserve"> of </w:t>
    </w:r>
    <w:fldSimple w:instr="NUMPAGES">
      <w:r>
        <w:rPr>
          <w:rFonts w:ascii="Arial" w:hAnsi="Arial"/>
          <w:sz w:val="19"/>
          <w:color w:val="4B4B4B"/>
          <w:lang w:val="en-US" w:eastAsia="en-US" w:bidi="en-US"/>
        </w:rPr>
        <w:t>6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74"/>
      </w:pPr>
    </w:lvl>
  </w:abstract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00"/>
    </w:pPr>
    <w:rPr>
      <w:rFonts w:ascii="Arial" w:hAnsi="Arial" w:eastAsia="Arial" w:cs="Arial"/>
      <w:color w:val="202020"/>
      <w:sz w:val="22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45" w:lineRule="auto"/>
      <w:outlineLvl w:val="0"/>
    </w:pPr>
    <w:rPr>
      <w:rFonts w:ascii="Arial" w:hAnsi="Arial" w:eastAsia="Arial" w:cs="Arial"/>
      <w:b/>
      <w:bCs/>
      <w:i w:val="0"/>
      <w:color w:val="214F73"/>
      <w:sz w:val="32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5" w:lineRule="auto"/>
      <w:outlineLvl w:val="1"/>
    </w:pPr>
    <w:rPr>
      <w:rFonts w:ascii="Arial" w:hAnsi="Arial" w:eastAsia="Arial" w:cs="Arial"/>
      <w:b/>
      <w:bCs/>
      <w:i w:val="0"/>
      <w:color w:val="214F73"/>
      <w:sz w:val="25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45" w:lineRule="auto"/>
      <w:outlineLvl w:val="2"/>
    </w:pPr>
    <w:rPr>
      <w:rFonts w:ascii="Arial" w:hAnsi="Arial" w:eastAsia="Arial" w:cs="Arial"/>
      <w:b/>
      <w:bCs/>
      <w:i w:val="0"/>
      <w:color w:val="214F73"/>
      <w:sz w:val="23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00" w:line="245" w:lineRule="auto" w:before="0"/>
      <w:contextualSpacing/>
    </w:pPr>
    <w:rPr>
      <w:rFonts w:ascii="Arial" w:hAnsi="Arial" w:eastAsia="Arial" w:cs="Arial"/>
      <w:b/>
      <w:i w:val="0"/>
      <w:color w:val="214F73"/>
      <w:spacing w:val="5"/>
      <w:kern w:val="28"/>
      <w:sz w:val="46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widowControl/>
      <w:spacing w:line="240" w:lineRule="auto" w:after="0"/>
    </w:pPr>
    <w:rPr>
      <w:rFonts w:ascii="Arial" w:hAnsi="Arial" w:eastAsia="Arial" w:cs="Arial"/>
      <w:sz w:val="22"/>
      <w:lang w:val="en-US" w:eastAsia="en-US" w:bidi="en-US"/>
    </w:rPr>
  </w:style>
  <w:style w:type="paragraph" w:customStyle="1" w:styleId="TableHeader">
    <w:name w:val="Table Header"/>
    <w:basedOn w:val="Normal"/>
    <w:pPr>
      <w:widowControl/>
      <w:spacing w:line="240" w:lineRule="auto" w:after="0"/>
    </w:pPr>
    <w:rPr>
      <w:rFonts w:ascii="Arial" w:hAnsi="Arial" w:eastAsia="Arial" w:cs="Arial"/>
      <w:b/>
      <w:color w:val="FFFFFF"/>
      <w:sz w:val="22"/>
      <w:lang w:val="en-US" w:eastAsia="en-US" w:bidi="en-US"/>
    </w:rPr>
  </w:style>
  <w:style w:type="paragraph" w:customStyle="1" w:styleId="PanelText">
    <w:name w:val="Panel Text"/>
    <w:basedOn w:val="Normal"/>
    <w:pPr>
      <w:widowControl/>
      <w:spacing w:line="252" w:lineRule="auto" w:after="100"/>
    </w:pPr>
    <w:rPr>
      <w:rFonts w:ascii="Arial" w:hAnsi="Arial" w:eastAsia="Arial" w:cs="Arial"/>
      <w:sz w:val="22"/>
      <w:lang w:val="en-US" w:eastAsia="en-US" w:bidi="en-US"/>
    </w:rPr>
  </w:style>
  <w:style w:type="paragraph" w:customStyle="1" w:styleId="Metadata">
    <w:name w:val="Metadata"/>
    <w:basedOn w:val="Normal"/>
    <w:pPr>
      <w:widowControl/>
      <w:spacing w:line="252" w:lineRule="auto" w:after="60"/>
    </w:pPr>
    <w:rPr>
      <w:rFonts w:ascii="Arial" w:hAnsi="Arial" w:eastAsia="Arial" w:cs="Arial"/>
      <w:color w:val="4B4B4B"/>
      <w:sz w:val="21"/>
      <w:lang w:val="en-US" w:eastAsia="en-US" w:bidi="en-US"/>
    </w:rPr>
  </w:style>
  <w:style w:type="paragraph" w:customStyle="1" w:styleId="GuidelineItem">
    <w:name w:val="Guideline Item"/>
    <w:basedOn w:val="Normal"/>
    <w:pPr>
      <w:keepLines/>
      <w:widowControl/>
      <w:tabs>
        <w:tab w:pos="374" w:val="left"/>
      </w:tabs>
      <w:spacing w:line="269" w:lineRule="auto" w:after="140"/>
      <w:ind w:left="374" w:hanging="374"/>
    </w:pPr>
    <w:rPr>
      <w:rFonts w:ascii="Arial" w:hAnsi="Arial" w:eastAsia="Arial" w:cs="Arial"/>
      <w:sz w:val="23"/>
      <w:lang w:val="en-US" w:eastAsia="en-US" w:bidi="en-US"/>
    </w:rPr>
  </w:style>
  <w:style w:type="paragraph" w:customStyle="1" w:styleId="DocumentNavigation">
    <w:name w:val="Document Navigation"/>
    <w:basedOn w:val="Normal"/>
    <w:pPr>
      <w:widowControl/>
      <w:spacing w:line="252" w:lineRule="auto" w:after="0"/>
    </w:pPr>
    <w:rPr>
      <w:rFonts w:ascii="Arial" w:hAnsi="Arial" w:eastAsia="Arial" w:cs="Arial"/>
      <w:color w:val="214F73"/>
      <w:sz w:val="21"/>
      <w:lang w:val="en-US" w:eastAsia="en-US" w:bidi="en-US"/>
    </w:rPr>
  </w:style>
  <w:style w:type="character" w:customStyle="1" w:styleId="Hyperlink">
    <w:name w:val="Hyperlink"/>
    <w:rPr>
      <w:rFonts w:ascii="Arial" w:hAnsi="Arial" w:eastAsia="Arial" w:cs="Arial"/>
      <w:color w:val="214F73"/>
      <w:u w:val="single"/>
    </w:rPr>
  </w:style>
  <w:style w:type="character" w:customStyle="1" w:styleId="FollowedHyperlink">
    <w:name w:val="FollowedHyperlink"/>
    <w:rPr>
      <w:rFonts w:ascii="Arial" w:hAnsi="Arial" w:eastAsia="Arial" w:cs="Arial"/>
      <w:color w:val="214F73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NAPS 2026 Scheduling Brief and Presentation Guidelines</dc:title>
  <dc:subject>Conference agenda, featured panels, oral and poster sessions, and presentation guidelines</dc:subject>
  <dc:creator>NAPS 2026</dc:creator>
  <cp:keywords>NAPS 2026; schedule; locations; oral presentations; poster presentations</cp:keywords>
  <dc:description/>
  <cp:lastModifiedBy>NAPS 2026</cp:lastModifiedBy>
  <cp:revision>1</cp:revision>
  <dcterms:created xsi:type="dcterms:W3CDTF">2026-09-07T20:39:00Z</dcterms:created>
  <dcterms:modified xsi:type="dcterms:W3CDTF">2026-10-01T19:00:00Z</dcterms:modified>
  <cp:category/>
  <dc:language>en-US</dc:language>
</cp:coreProperties>
</file>