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248"/>
        <w:gridCol w:w="4680"/>
        <w:gridCol w:w="4230"/>
      </w:tblGrid>
      <w:tr w:rsidR="00551C7A" w:rsidRPr="0025649F" w:rsidTr="0025649F">
        <w:tc>
          <w:tcPr>
            <w:tcW w:w="4248" w:type="dxa"/>
          </w:tcPr>
          <w:p w:rsidR="00551C7A" w:rsidRPr="0025649F" w:rsidRDefault="00551C7A">
            <w:pPr>
              <w:rPr>
                <w:sz w:val="20"/>
                <w:szCs w:val="20"/>
              </w:rPr>
            </w:pPr>
            <w:r w:rsidRPr="0025649F">
              <w:rPr>
                <w:sz w:val="20"/>
                <w:szCs w:val="20"/>
              </w:rPr>
              <w:t>STEP 2:  Map program goals onto University goals</w:t>
            </w:r>
          </w:p>
        </w:tc>
        <w:tc>
          <w:tcPr>
            <w:tcW w:w="4680" w:type="dxa"/>
          </w:tcPr>
          <w:p w:rsidR="00551C7A" w:rsidRPr="0025649F" w:rsidRDefault="0025649F">
            <w:pPr>
              <w:rPr>
                <w:color w:val="FF0000"/>
                <w:sz w:val="20"/>
                <w:szCs w:val="20"/>
              </w:rPr>
            </w:pPr>
            <w:r>
              <w:rPr>
                <w:color w:val="FF0000"/>
                <w:sz w:val="20"/>
                <w:szCs w:val="20"/>
              </w:rPr>
              <w:t>STEP 1:  START HERE</w:t>
            </w:r>
            <w:r w:rsidR="00551C7A" w:rsidRPr="0025649F">
              <w:rPr>
                <w:color w:val="FF0000"/>
                <w:sz w:val="20"/>
                <w:szCs w:val="20"/>
              </w:rPr>
              <w:t>.   If you have program goals which do not map onto university goals, please</w:t>
            </w:r>
            <w:r>
              <w:rPr>
                <w:color w:val="FF0000"/>
                <w:sz w:val="20"/>
                <w:szCs w:val="20"/>
              </w:rPr>
              <w:t xml:space="preserve"> add a row and</w:t>
            </w:r>
            <w:r w:rsidR="00551C7A" w:rsidRPr="0025649F">
              <w:rPr>
                <w:color w:val="FF0000"/>
                <w:sz w:val="20"/>
                <w:szCs w:val="20"/>
              </w:rPr>
              <w:t xml:space="preserve"> list them below the University goals</w:t>
            </w:r>
          </w:p>
        </w:tc>
        <w:tc>
          <w:tcPr>
            <w:tcW w:w="4230" w:type="dxa"/>
          </w:tcPr>
          <w:p w:rsidR="00551C7A" w:rsidRPr="0025649F" w:rsidRDefault="00551C7A">
            <w:pPr>
              <w:rPr>
                <w:sz w:val="20"/>
                <w:szCs w:val="20"/>
              </w:rPr>
            </w:pPr>
            <w:r w:rsidRPr="0025649F">
              <w:rPr>
                <w:sz w:val="20"/>
                <w:szCs w:val="20"/>
              </w:rPr>
              <w:t xml:space="preserve">STEP 3:  After you have mapped programs goals onto the curriculum, select 2 programs goals and explain where (course/s) and how (test? Project? Capstone?) you will assess it spring semester 2012 using embedded/direct measures.  You might assess it one course or multiple courses.  If your goal has multiple aspects, pick one to assess.  </w:t>
            </w:r>
          </w:p>
        </w:tc>
      </w:tr>
      <w:tr w:rsidR="00551C7A" w:rsidRPr="0025649F" w:rsidTr="0025649F">
        <w:tc>
          <w:tcPr>
            <w:tcW w:w="4248" w:type="dxa"/>
          </w:tcPr>
          <w:p w:rsidR="00551C7A" w:rsidRPr="0025649F" w:rsidRDefault="00551C7A" w:rsidP="0025649F">
            <w:pPr>
              <w:jc w:val="center"/>
              <w:rPr>
                <w:b/>
                <w:sz w:val="24"/>
                <w:szCs w:val="24"/>
              </w:rPr>
            </w:pPr>
            <w:r w:rsidRPr="0025649F">
              <w:rPr>
                <w:b/>
                <w:sz w:val="24"/>
                <w:szCs w:val="24"/>
              </w:rPr>
              <w:t>University Learning Goals</w:t>
            </w:r>
          </w:p>
        </w:tc>
        <w:tc>
          <w:tcPr>
            <w:tcW w:w="4680" w:type="dxa"/>
          </w:tcPr>
          <w:p w:rsidR="00551C7A" w:rsidRPr="0025649F" w:rsidRDefault="00551C7A" w:rsidP="0025649F">
            <w:pPr>
              <w:jc w:val="center"/>
              <w:rPr>
                <w:b/>
                <w:sz w:val="24"/>
                <w:szCs w:val="24"/>
              </w:rPr>
            </w:pPr>
            <w:r w:rsidRPr="0025649F">
              <w:rPr>
                <w:b/>
                <w:sz w:val="24"/>
                <w:szCs w:val="24"/>
              </w:rPr>
              <w:t>Your Degree Program Learning Goals</w:t>
            </w:r>
          </w:p>
        </w:tc>
        <w:tc>
          <w:tcPr>
            <w:tcW w:w="4230" w:type="dxa"/>
          </w:tcPr>
          <w:p w:rsidR="00551C7A" w:rsidRPr="0025649F" w:rsidRDefault="00551C7A" w:rsidP="0025649F">
            <w:pPr>
              <w:jc w:val="center"/>
              <w:rPr>
                <w:rFonts w:ascii="Calibri" w:hAnsi="Calibri"/>
                <w:b/>
                <w:bCs/>
                <w:color w:val="000000"/>
                <w:sz w:val="24"/>
                <w:szCs w:val="24"/>
              </w:rPr>
            </w:pPr>
            <w:r w:rsidRPr="0025649F">
              <w:rPr>
                <w:rFonts w:ascii="Calibri" w:hAnsi="Calibri"/>
                <w:b/>
                <w:bCs/>
                <w:color w:val="000000"/>
                <w:sz w:val="24"/>
                <w:szCs w:val="24"/>
              </w:rPr>
              <w:t>Outcomes Assessed by Your Department</w:t>
            </w:r>
          </w:p>
          <w:p w:rsidR="00551C7A" w:rsidRPr="0025649F" w:rsidRDefault="00551C7A" w:rsidP="0025649F">
            <w:pPr>
              <w:jc w:val="center"/>
              <w:rPr>
                <w:sz w:val="24"/>
                <w:szCs w:val="24"/>
              </w:rPr>
            </w:pPr>
          </w:p>
        </w:tc>
      </w:tr>
      <w:tr w:rsidR="00551C7A" w:rsidRPr="0025649F" w:rsidTr="0025649F">
        <w:tc>
          <w:tcPr>
            <w:tcW w:w="4248" w:type="dxa"/>
          </w:tcPr>
          <w:p w:rsidR="00551C7A" w:rsidRPr="0025649F" w:rsidRDefault="0025649F">
            <w:pPr>
              <w:rPr>
                <w:sz w:val="20"/>
                <w:szCs w:val="20"/>
              </w:rPr>
            </w:pPr>
            <w:r>
              <w:rPr>
                <w:sz w:val="20"/>
                <w:szCs w:val="20"/>
              </w:rPr>
              <w:t>1.   </w:t>
            </w:r>
            <w:r w:rsidR="00551C7A" w:rsidRPr="0025649F">
              <w:rPr>
                <w:sz w:val="20"/>
                <w:szCs w:val="20"/>
                <w:u w:val="single"/>
              </w:rPr>
              <w:t>Disciplinary Knowledge</w:t>
            </w:r>
            <w:r w:rsidR="00551C7A" w:rsidRPr="0025649F">
              <w:rPr>
                <w:sz w:val="20"/>
                <w:szCs w:val="20"/>
              </w:rPr>
              <w:t>.   Students demonstrate a depth of knowledge in one area/ discipline, as well as a breadth of knowledge that (1) enables adaptability and flexibility as knowledge grows and changes, and (2) recognizes linkages/complementarity to other areas/disciplines.</w:t>
            </w:r>
          </w:p>
        </w:tc>
        <w:tc>
          <w:tcPr>
            <w:tcW w:w="4680" w:type="dxa"/>
          </w:tcPr>
          <w:p w:rsidR="00551C7A" w:rsidRPr="0025649F" w:rsidRDefault="00551C7A">
            <w:pPr>
              <w:rPr>
                <w:sz w:val="20"/>
                <w:szCs w:val="20"/>
              </w:rPr>
            </w:pPr>
          </w:p>
        </w:tc>
        <w:tc>
          <w:tcPr>
            <w:tcW w:w="4230" w:type="dxa"/>
          </w:tcPr>
          <w:p w:rsidR="00551C7A" w:rsidRPr="0025649F" w:rsidRDefault="00551C7A">
            <w:pPr>
              <w:rPr>
                <w:sz w:val="20"/>
                <w:szCs w:val="20"/>
              </w:rPr>
            </w:pPr>
          </w:p>
        </w:tc>
      </w:tr>
      <w:tr w:rsidR="00551C7A" w:rsidRPr="0025649F" w:rsidTr="0025649F">
        <w:tc>
          <w:tcPr>
            <w:tcW w:w="4248" w:type="dxa"/>
          </w:tcPr>
          <w:p w:rsidR="00551C7A" w:rsidRPr="0025649F" w:rsidRDefault="0025649F" w:rsidP="009C2C12">
            <w:pPr>
              <w:rPr>
                <w:sz w:val="20"/>
                <w:szCs w:val="20"/>
              </w:rPr>
            </w:pPr>
            <w:r>
              <w:rPr>
                <w:sz w:val="20"/>
                <w:szCs w:val="20"/>
              </w:rPr>
              <w:t>2.  </w:t>
            </w:r>
            <w:r w:rsidR="00551C7A" w:rsidRPr="0025649F">
              <w:rPr>
                <w:sz w:val="20"/>
                <w:szCs w:val="20"/>
                <w:u w:val="single"/>
              </w:rPr>
              <w:t>Knowledge of the physical and natural world</w:t>
            </w:r>
            <w:r w:rsidR="00551C7A" w:rsidRPr="0025649F">
              <w:rPr>
                <w:sz w:val="20"/>
                <w:szCs w:val="20"/>
              </w:rPr>
              <w:t>.  Students demonstrate knowledge of the physical and natural world.  This is accomplished by studying science</w:t>
            </w:r>
            <w:r w:rsidR="009C2C12">
              <w:rPr>
                <w:sz w:val="20"/>
                <w:szCs w:val="20"/>
              </w:rPr>
              <w:t xml:space="preserve"> and </w:t>
            </w:r>
            <w:r w:rsidR="00551C7A" w:rsidRPr="0025649F">
              <w:rPr>
                <w:sz w:val="20"/>
                <w:szCs w:val="20"/>
              </w:rPr>
              <w:t>mathematics</w:t>
            </w:r>
            <w:r w:rsidR="009C2C12">
              <w:rPr>
                <w:sz w:val="20"/>
                <w:szCs w:val="20"/>
              </w:rPr>
              <w:t xml:space="preserve">. </w:t>
            </w:r>
            <w:r w:rsidR="00551C7A" w:rsidRPr="0025649F">
              <w:rPr>
                <w:sz w:val="20"/>
                <w:szCs w:val="20"/>
              </w:rPr>
              <w:t xml:space="preserve"> </w:t>
            </w:r>
          </w:p>
        </w:tc>
        <w:tc>
          <w:tcPr>
            <w:tcW w:w="4680" w:type="dxa"/>
          </w:tcPr>
          <w:p w:rsidR="00551C7A" w:rsidRPr="0025649F" w:rsidRDefault="00551C7A">
            <w:pPr>
              <w:rPr>
                <w:sz w:val="20"/>
                <w:szCs w:val="20"/>
              </w:rPr>
            </w:pPr>
          </w:p>
        </w:tc>
        <w:tc>
          <w:tcPr>
            <w:tcW w:w="4230" w:type="dxa"/>
          </w:tcPr>
          <w:p w:rsidR="00551C7A" w:rsidRPr="0025649F" w:rsidRDefault="00551C7A">
            <w:pPr>
              <w:rPr>
                <w:sz w:val="20"/>
                <w:szCs w:val="20"/>
              </w:rPr>
            </w:pPr>
          </w:p>
        </w:tc>
      </w:tr>
      <w:tr w:rsidR="00551C7A" w:rsidRPr="0025649F" w:rsidTr="0025649F">
        <w:tc>
          <w:tcPr>
            <w:tcW w:w="4248" w:type="dxa"/>
          </w:tcPr>
          <w:p w:rsidR="00551C7A" w:rsidRPr="0025649F" w:rsidRDefault="0025649F">
            <w:pPr>
              <w:rPr>
                <w:sz w:val="20"/>
                <w:szCs w:val="20"/>
              </w:rPr>
            </w:pPr>
            <w:r>
              <w:rPr>
                <w:sz w:val="20"/>
                <w:szCs w:val="20"/>
              </w:rPr>
              <w:t>3. </w:t>
            </w:r>
            <w:r w:rsidR="00551C7A" w:rsidRPr="0025649F">
              <w:rPr>
                <w:sz w:val="20"/>
                <w:szCs w:val="20"/>
              </w:rPr>
              <w:t xml:space="preserve">  </w:t>
            </w:r>
            <w:r w:rsidR="00551C7A" w:rsidRPr="0025649F">
              <w:rPr>
                <w:sz w:val="20"/>
                <w:szCs w:val="20"/>
                <w:u w:val="single"/>
              </w:rPr>
              <w:t>Global Literacy</w:t>
            </w:r>
            <w:r w:rsidR="009C2C12">
              <w:rPr>
                <w:sz w:val="20"/>
                <w:szCs w:val="20"/>
                <w:u w:val="single"/>
              </w:rPr>
              <w:t xml:space="preserve"> and knowledge of human culture.</w:t>
            </w:r>
            <w:bookmarkStart w:id="0" w:name="_GoBack"/>
            <w:bookmarkEnd w:id="0"/>
            <w:r w:rsidR="009C2C12" w:rsidRPr="009C2C12">
              <w:rPr>
                <w:rFonts w:ascii="Arial" w:hAnsi="Arial" w:cs="Arial"/>
                <w:color w:val="000000"/>
                <w:sz w:val="20"/>
                <w:szCs w:val="20"/>
                <w:shd w:val="clear" w:color="auto" w:fill="FBF8EE"/>
              </w:rPr>
              <w:t xml:space="preserve"> </w:t>
            </w:r>
            <w:r w:rsidR="009C2C12" w:rsidRPr="009C2C12">
              <w:rPr>
                <w:sz w:val="20"/>
                <w:szCs w:val="20"/>
              </w:rPr>
              <w:t>Students demonstrate knowledge of human cultures and will be able to interact in meaningful ways with people from other cultures. This will be accomplished by acquisition of global knowledge and competencies through the study of social sciences, arts and humanities.</w:t>
            </w:r>
          </w:p>
        </w:tc>
        <w:tc>
          <w:tcPr>
            <w:tcW w:w="4680" w:type="dxa"/>
          </w:tcPr>
          <w:p w:rsidR="00551C7A" w:rsidRPr="0025649F" w:rsidRDefault="00551C7A">
            <w:pPr>
              <w:rPr>
                <w:sz w:val="20"/>
                <w:szCs w:val="20"/>
              </w:rPr>
            </w:pPr>
          </w:p>
        </w:tc>
        <w:tc>
          <w:tcPr>
            <w:tcW w:w="4230" w:type="dxa"/>
          </w:tcPr>
          <w:p w:rsidR="00551C7A" w:rsidRPr="0025649F" w:rsidRDefault="00551C7A">
            <w:pPr>
              <w:rPr>
                <w:sz w:val="20"/>
                <w:szCs w:val="20"/>
              </w:rPr>
            </w:pPr>
          </w:p>
        </w:tc>
      </w:tr>
      <w:tr w:rsidR="00551C7A" w:rsidRPr="0025649F" w:rsidTr="0025649F">
        <w:tc>
          <w:tcPr>
            <w:tcW w:w="4248" w:type="dxa"/>
          </w:tcPr>
          <w:p w:rsidR="00551C7A" w:rsidRPr="0025649F" w:rsidRDefault="0025649F">
            <w:pPr>
              <w:rPr>
                <w:sz w:val="20"/>
                <w:szCs w:val="20"/>
              </w:rPr>
            </w:pPr>
            <w:r>
              <w:rPr>
                <w:sz w:val="20"/>
                <w:szCs w:val="20"/>
              </w:rPr>
              <w:t>4.  </w:t>
            </w:r>
            <w:r w:rsidR="00551C7A" w:rsidRPr="0025649F">
              <w:rPr>
                <w:sz w:val="20"/>
                <w:szCs w:val="20"/>
                <w:u w:val="single"/>
              </w:rPr>
              <w:t>Critical &amp; Creative Thinking</w:t>
            </w:r>
            <w:r w:rsidR="00551C7A" w:rsidRPr="0025649F">
              <w:rPr>
                <w:sz w:val="20"/>
                <w:szCs w:val="20"/>
              </w:rPr>
              <w:t>.  Students will be able to think critically and creatively, as demonstrated by their broad, adaptable and versatile use of reasoning, logic, and evidence to access and evaluate information and solve complex problems both independently and in groups. </w:t>
            </w:r>
          </w:p>
        </w:tc>
        <w:tc>
          <w:tcPr>
            <w:tcW w:w="4680" w:type="dxa"/>
          </w:tcPr>
          <w:p w:rsidR="00551C7A" w:rsidRPr="0025649F" w:rsidRDefault="00551C7A">
            <w:pPr>
              <w:rPr>
                <w:sz w:val="20"/>
                <w:szCs w:val="20"/>
              </w:rPr>
            </w:pPr>
          </w:p>
        </w:tc>
        <w:tc>
          <w:tcPr>
            <w:tcW w:w="4230" w:type="dxa"/>
          </w:tcPr>
          <w:p w:rsidR="00551C7A" w:rsidRPr="0025649F" w:rsidRDefault="00551C7A">
            <w:pPr>
              <w:rPr>
                <w:sz w:val="20"/>
                <w:szCs w:val="20"/>
              </w:rPr>
            </w:pPr>
          </w:p>
        </w:tc>
      </w:tr>
      <w:tr w:rsidR="00551C7A" w:rsidRPr="0025649F" w:rsidTr="0025649F">
        <w:tc>
          <w:tcPr>
            <w:tcW w:w="4248" w:type="dxa"/>
          </w:tcPr>
          <w:p w:rsidR="00551C7A" w:rsidRPr="0025649F" w:rsidRDefault="00551C7A">
            <w:pPr>
              <w:rPr>
                <w:sz w:val="20"/>
                <w:szCs w:val="20"/>
              </w:rPr>
            </w:pPr>
            <w:r w:rsidRPr="0025649F">
              <w:rPr>
                <w:sz w:val="20"/>
                <w:szCs w:val="20"/>
              </w:rPr>
              <w:t>5.  </w:t>
            </w:r>
            <w:r w:rsidRPr="0025649F">
              <w:rPr>
                <w:sz w:val="20"/>
                <w:szCs w:val="20"/>
                <w:u w:val="single"/>
              </w:rPr>
              <w:t>Communication</w:t>
            </w:r>
            <w:r w:rsidRPr="0025649F">
              <w:rPr>
                <w:sz w:val="20"/>
                <w:szCs w:val="20"/>
              </w:rPr>
              <w:t xml:space="preserve">.  Students will be able to </w:t>
            </w:r>
            <w:r w:rsidRPr="0025649F">
              <w:rPr>
                <w:sz w:val="20"/>
                <w:szCs w:val="20"/>
              </w:rPr>
              <w:lastRenderedPageBreak/>
              <w:t>communicate effectively, orally, in writing and in new media, to a wide variety of audiences.</w:t>
            </w:r>
          </w:p>
        </w:tc>
        <w:tc>
          <w:tcPr>
            <w:tcW w:w="4680" w:type="dxa"/>
          </w:tcPr>
          <w:p w:rsidR="00551C7A" w:rsidRPr="0025649F" w:rsidRDefault="00551C7A">
            <w:pPr>
              <w:rPr>
                <w:sz w:val="20"/>
                <w:szCs w:val="20"/>
              </w:rPr>
            </w:pPr>
          </w:p>
        </w:tc>
        <w:tc>
          <w:tcPr>
            <w:tcW w:w="4230" w:type="dxa"/>
          </w:tcPr>
          <w:p w:rsidR="00551C7A" w:rsidRPr="0025649F" w:rsidRDefault="00551C7A">
            <w:pPr>
              <w:rPr>
                <w:sz w:val="20"/>
                <w:szCs w:val="20"/>
              </w:rPr>
            </w:pPr>
          </w:p>
        </w:tc>
      </w:tr>
      <w:tr w:rsidR="00551C7A" w:rsidRPr="0025649F" w:rsidTr="0025649F">
        <w:tc>
          <w:tcPr>
            <w:tcW w:w="4248" w:type="dxa"/>
          </w:tcPr>
          <w:p w:rsidR="00551C7A" w:rsidRPr="0025649F" w:rsidRDefault="0025649F">
            <w:pPr>
              <w:rPr>
                <w:sz w:val="20"/>
                <w:szCs w:val="20"/>
              </w:rPr>
            </w:pPr>
            <w:r>
              <w:rPr>
                <w:sz w:val="20"/>
                <w:szCs w:val="20"/>
              </w:rPr>
              <w:lastRenderedPageBreak/>
              <w:t>6. </w:t>
            </w:r>
            <w:r w:rsidR="00551C7A" w:rsidRPr="0025649F">
              <w:rPr>
                <w:sz w:val="20"/>
                <w:szCs w:val="20"/>
              </w:rPr>
              <w:t xml:space="preserve">  </w:t>
            </w:r>
            <w:r w:rsidR="00551C7A" w:rsidRPr="0025649F">
              <w:rPr>
                <w:sz w:val="20"/>
                <w:szCs w:val="20"/>
                <w:u w:val="single"/>
              </w:rPr>
              <w:t>Information Literacy</w:t>
            </w:r>
            <w:r w:rsidR="00551C7A" w:rsidRPr="0025649F">
              <w:rPr>
                <w:sz w:val="20"/>
                <w:szCs w:val="20"/>
              </w:rPr>
              <w:t xml:space="preserve">.  Students will be able to identify the need for information, procure and evaluate information, and subsequently revise their strategy for obtaining information.  Students will access and apply information in an ethical and legal manner.  </w:t>
            </w:r>
          </w:p>
        </w:tc>
        <w:tc>
          <w:tcPr>
            <w:tcW w:w="4680" w:type="dxa"/>
          </w:tcPr>
          <w:p w:rsidR="00551C7A" w:rsidRPr="0025649F" w:rsidRDefault="00551C7A">
            <w:pPr>
              <w:rPr>
                <w:sz w:val="20"/>
                <w:szCs w:val="20"/>
              </w:rPr>
            </w:pPr>
          </w:p>
        </w:tc>
        <w:tc>
          <w:tcPr>
            <w:tcW w:w="4230" w:type="dxa"/>
          </w:tcPr>
          <w:p w:rsidR="00551C7A" w:rsidRPr="0025649F" w:rsidRDefault="00551C7A">
            <w:pPr>
              <w:rPr>
                <w:sz w:val="20"/>
                <w:szCs w:val="20"/>
              </w:rPr>
            </w:pPr>
          </w:p>
        </w:tc>
      </w:tr>
      <w:tr w:rsidR="0025649F" w:rsidRPr="0025649F" w:rsidTr="0025649F">
        <w:tc>
          <w:tcPr>
            <w:tcW w:w="4248" w:type="dxa"/>
          </w:tcPr>
          <w:p w:rsidR="0025649F" w:rsidRPr="0025649F" w:rsidRDefault="0025649F" w:rsidP="0025649F">
            <w:pPr>
              <w:rPr>
                <w:sz w:val="20"/>
                <w:szCs w:val="20"/>
              </w:rPr>
            </w:pPr>
            <w:r w:rsidRPr="0025649F">
              <w:rPr>
                <w:sz w:val="20"/>
                <w:szCs w:val="20"/>
              </w:rPr>
              <w:t>7.  </w:t>
            </w:r>
            <w:r w:rsidRPr="0025649F">
              <w:rPr>
                <w:sz w:val="20"/>
                <w:szCs w:val="20"/>
                <w:u w:val="single"/>
              </w:rPr>
              <w:t>Technology</w:t>
            </w:r>
            <w:r w:rsidRPr="0025649F">
              <w:rPr>
                <w:sz w:val="20"/>
                <w:szCs w:val="20"/>
              </w:rPr>
              <w:t>.   Students will demonstrate knowledge of technology and its implications in society, and be able to design and/or use technology for creative activities or innovative solutions to problems. </w:t>
            </w:r>
          </w:p>
        </w:tc>
        <w:tc>
          <w:tcPr>
            <w:tcW w:w="4680" w:type="dxa"/>
          </w:tcPr>
          <w:p w:rsidR="0025649F" w:rsidRPr="0025649F" w:rsidRDefault="0025649F">
            <w:pPr>
              <w:rPr>
                <w:sz w:val="20"/>
                <w:szCs w:val="20"/>
              </w:rPr>
            </w:pPr>
          </w:p>
        </w:tc>
        <w:tc>
          <w:tcPr>
            <w:tcW w:w="4230" w:type="dxa"/>
          </w:tcPr>
          <w:p w:rsidR="0025649F" w:rsidRPr="0025649F" w:rsidRDefault="0025649F">
            <w:pPr>
              <w:rPr>
                <w:sz w:val="20"/>
                <w:szCs w:val="20"/>
              </w:rPr>
            </w:pPr>
          </w:p>
        </w:tc>
      </w:tr>
      <w:tr w:rsidR="0025649F" w:rsidRPr="0025649F" w:rsidTr="0025649F">
        <w:tc>
          <w:tcPr>
            <w:tcW w:w="4248" w:type="dxa"/>
          </w:tcPr>
          <w:p w:rsidR="0025649F" w:rsidRPr="0025649F" w:rsidRDefault="0025649F">
            <w:pPr>
              <w:rPr>
                <w:sz w:val="20"/>
                <w:szCs w:val="20"/>
              </w:rPr>
            </w:pPr>
            <w:r w:rsidRPr="0025649F">
              <w:rPr>
                <w:sz w:val="20"/>
                <w:szCs w:val="20"/>
              </w:rPr>
              <w:t>8.       Values and Civic Engagement.  Students will be able to address conflicting moral, ethical, and legal questions, and identify and develop a personal sense of ethical responsibility for the broader impact of their actions on science and a sustainable society.</w:t>
            </w:r>
          </w:p>
        </w:tc>
        <w:tc>
          <w:tcPr>
            <w:tcW w:w="4680" w:type="dxa"/>
          </w:tcPr>
          <w:p w:rsidR="0025649F" w:rsidRPr="0025649F" w:rsidRDefault="0025649F">
            <w:pPr>
              <w:rPr>
                <w:sz w:val="20"/>
                <w:szCs w:val="20"/>
              </w:rPr>
            </w:pPr>
          </w:p>
        </w:tc>
        <w:tc>
          <w:tcPr>
            <w:tcW w:w="4230" w:type="dxa"/>
          </w:tcPr>
          <w:p w:rsidR="0025649F" w:rsidRPr="0025649F" w:rsidRDefault="0025649F">
            <w:pPr>
              <w:rPr>
                <w:sz w:val="20"/>
                <w:szCs w:val="20"/>
              </w:rPr>
            </w:pPr>
          </w:p>
        </w:tc>
      </w:tr>
    </w:tbl>
    <w:p w:rsidR="00AC2BE5" w:rsidRPr="0025649F" w:rsidRDefault="00AC2BE5">
      <w:pPr>
        <w:rPr>
          <w:sz w:val="20"/>
          <w:szCs w:val="20"/>
        </w:rPr>
      </w:pPr>
    </w:p>
    <w:sectPr w:rsidR="00AC2BE5" w:rsidRPr="0025649F" w:rsidSect="00551C7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551C7A"/>
    <w:rsid w:val="000350A4"/>
    <w:rsid w:val="0025649F"/>
    <w:rsid w:val="003C399B"/>
    <w:rsid w:val="00491407"/>
    <w:rsid w:val="00551C7A"/>
    <w:rsid w:val="00601B1C"/>
    <w:rsid w:val="009C2C12"/>
    <w:rsid w:val="00A44A39"/>
    <w:rsid w:val="00AC2BE5"/>
    <w:rsid w:val="00B93B34"/>
    <w:rsid w:val="00E5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099863">
      <w:bodyDiv w:val="1"/>
      <w:marLeft w:val="0"/>
      <w:marRight w:val="0"/>
      <w:marTop w:val="0"/>
      <w:marBottom w:val="0"/>
      <w:divBdr>
        <w:top w:val="none" w:sz="0" w:space="0" w:color="auto"/>
        <w:left w:val="none" w:sz="0" w:space="0" w:color="auto"/>
        <w:bottom w:val="none" w:sz="0" w:space="0" w:color="auto"/>
        <w:right w:val="none" w:sz="0" w:space="0" w:color="auto"/>
      </w:divBdr>
    </w:div>
    <w:div w:id="2087801595">
      <w:bodyDiv w:val="1"/>
      <w:marLeft w:val="0"/>
      <w:marRight w:val="0"/>
      <w:marTop w:val="0"/>
      <w:marBottom w:val="0"/>
      <w:divBdr>
        <w:top w:val="none" w:sz="0" w:space="0" w:color="auto"/>
        <w:left w:val="none" w:sz="0" w:space="0" w:color="auto"/>
        <w:bottom w:val="none" w:sz="0" w:space="0" w:color="auto"/>
        <w:right w:val="none" w:sz="0" w:space="0" w:color="auto"/>
      </w:divBdr>
    </w:div>
    <w:div w:id="20881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cwalck</dc:creator>
  <cp:keywords/>
  <dc:description/>
  <cp:lastModifiedBy>Jeannie Straw DeClerck</cp:lastModifiedBy>
  <cp:revision>2</cp:revision>
  <dcterms:created xsi:type="dcterms:W3CDTF">2014-01-16T13:27:00Z</dcterms:created>
  <dcterms:modified xsi:type="dcterms:W3CDTF">2014-01-16T13:27:00Z</dcterms:modified>
</cp:coreProperties>
</file>